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D7" w:rsidRPr="00A52896" w:rsidRDefault="00050016" w:rsidP="00B74DCD">
      <w:pPr>
        <w:tabs>
          <w:tab w:val="left" w:pos="6300"/>
        </w:tabs>
        <w:jc w:val="center"/>
        <w:rPr>
          <w:b/>
          <w:bCs/>
          <w:sz w:val="24"/>
          <w:szCs w:val="24"/>
        </w:rPr>
      </w:pPr>
      <w:bookmarkStart w:id="0" w:name="_GoBack"/>
      <w:bookmarkEnd w:id="0"/>
      <w:r w:rsidRPr="00A52896">
        <w:rPr>
          <w:b/>
          <w:bCs/>
          <w:sz w:val="24"/>
          <w:szCs w:val="24"/>
        </w:rPr>
        <w:t>Phenomenology and Foucaul</w:t>
      </w:r>
      <w:r w:rsidR="00050453">
        <w:rPr>
          <w:b/>
          <w:bCs/>
          <w:sz w:val="24"/>
          <w:szCs w:val="24"/>
        </w:rPr>
        <w:t>t; Prof. Boedeker;</w:t>
      </w:r>
    </w:p>
    <w:p w:rsidR="00766046" w:rsidRPr="00A52896" w:rsidRDefault="00FD2AD7" w:rsidP="00050016">
      <w:pPr>
        <w:spacing w:after="120"/>
        <w:jc w:val="center"/>
        <w:rPr>
          <w:b/>
          <w:bCs/>
          <w:sz w:val="24"/>
          <w:szCs w:val="24"/>
        </w:rPr>
      </w:pPr>
      <w:r w:rsidRPr="00A52896">
        <w:rPr>
          <w:b/>
          <w:bCs/>
          <w:sz w:val="24"/>
          <w:szCs w:val="24"/>
        </w:rPr>
        <w:t>W</w:t>
      </w:r>
      <w:r w:rsidR="00050016" w:rsidRPr="00A52896">
        <w:rPr>
          <w:b/>
          <w:bCs/>
          <w:sz w:val="24"/>
          <w:szCs w:val="24"/>
        </w:rPr>
        <w:t>orksheet on p</w:t>
      </w:r>
      <w:r w:rsidR="00766046" w:rsidRPr="00A52896">
        <w:rPr>
          <w:b/>
          <w:bCs/>
          <w:sz w:val="24"/>
          <w:szCs w:val="24"/>
        </w:rPr>
        <w:t>sychologis</w:t>
      </w:r>
      <w:r w:rsidR="00050016" w:rsidRPr="00A52896">
        <w:rPr>
          <w:b/>
          <w:bCs/>
          <w:sz w:val="24"/>
          <w:szCs w:val="24"/>
        </w:rPr>
        <w:t>m and neo-Kantianism:</w:t>
      </w:r>
      <w:r w:rsidR="00766046" w:rsidRPr="00A52896">
        <w:rPr>
          <w:b/>
          <w:bCs/>
          <w:sz w:val="24"/>
          <w:szCs w:val="24"/>
        </w:rPr>
        <w:t xml:space="preserve"> </w:t>
      </w:r>
      <w:r w:rsidR="00766046" w:rsidRPr="00A52896">
        <w:rPr>
          <w:b/>
          <w:bCs/>
          <w:i/>
          <w:iCs/>
          <w:sz w:val="24"/>
          <w:szCs w:val="24"/>
        </w:rPr>
        <w:t>History of the Concept of Time</w:t>
      </w:r>
      <w:r w:rsidRPr="00A52896">
        <w:rPr>
          <w:b/>
          <w:bCs/>
          <w:sz w:val="24"/>
          <w:szCs w:val="24"/>
        </w:rPr>
        <w:t>, pp. 1-26</w:t>
      </w:r>
    </w:p>
    <w:p w:rsidR="00050016" w:rsidRPr="00A52896" w:rsidRDefault="00B622E2" w:rsidP="00766046">
      <w:pPr>
        <w:spacing w:after="120"/>
        <w:rPr>
          <w:sz w:val="24"/>
          <w:szCs w:val="24"/>
        </w:rPr>
      </w:pPr>
      <w:r w:rsidRPr="00A52896">
        <w:rPr>
          <w:sz w:val="24"/>
          <w:szCs w:val="24"/>
        </w:rPr>
        <w:t>1. In Section 1, Heidegger attempts to motivate his investigation into history and nature by pointing to contemporary crises in several sciences.  How does Heidegger conceive the relation between philosophy and the sciences?</w:t>
      </w:r>
    </w:p>
    <w:p w:rsidR="00B622E2" w:rsidRPr="00A52896" w:rsidRDefault="00B622E2" w:rsidP="00766046">
      <w:pPr>
        <w:spacing w:after="120"/>
        <w:rPr>
          <w:sz w:val="24"/>
          <w:szCs w:val="24"/>
        </w:rPr>
      </w:pPr>
      <w:r w:rsidRPr="00A52896">
        <w:rPr>
          <w:sz w:val="24"/>
          <w:szCs w:val="24"/>
        </w:rPr>
        <w:t xml:space="preserve">2. </w:t>
      </w:r>
      <w:r w:rsidR="0099191E" w:rsidRPr="00A52896">
        <w:rPr>
          <w:sz w:val="24"/>
          <w:szCs w:val="24"/>
        </w:rPr>
        <w:t>In Section 2, Heidegger argues that some preparation is needed before an investigation of the concepts of nature and history can begin.  He follows Immanuel Kant (1724-1803) in calling such preparation “</w:t>
      </w:r>
      <w:r w:rsidR="0099191E" w:rsidRPr="00A52896">
        <w:rPr>
          <w:i/>
          <w:iCs/>
          <w:sz w:val="24"/>
          <w:szCs w:val="24"/>
        </w:rPr>
        <w:t>prolegomena</w:t>
      </w:r>
      <w:r w:rsidR="0099191E" w:rsidRPr="00A52896">
        <w:rPr>
          <w:sz w:val="24"/>
          <w:szCs w:val="24"/>
        </w:rPr>
        <w:t>”, which literally means “what lies before”.  The prolegomena to such an investigation include an explication of the “horizon” in terms of which these concepts have meaning.  Why does Heidegger call (the concept of)</w:t>
      </w:r>
      <w:r w:rsidRPr="00A52896">
        <w:rPr>
          <w:sz w:val="24"/>
          <w:szCs w:val="24"/>
        </w:rPr>
        <w:t xml:space="preserve"> time the “horizon” of </w:t>
      </w:r>
      <w:r w:rsidR="0099191E" w:rsidRPr="00A52896">
        <w:rPr>
          <w:sz w:val="24"/>
          <w:szCs w:val="24"/>
        </w:rPr>
        <w:t xml:space="preserve">(the concepts of) </w:t>
      </w:r>
      <w:r w:rsidRPr="00A52896">
        <w:rPr>
          <w:sz w:val="24"/>
          <w:szCs w:val="24"/>
        </w:rPr>
        <w:t>history and nature?</w:t>
      </w:r>
    </w:p>
    <w:p w:rsidR="00B622E2" w:rsidRPr="00A52896" w:rsidRDefault="002D6F0D" w:rsidP="00F11E8C">
      <w:pPr>
        <w:rPr>
          <w:sz w:val="24"/>
          <w:szCs w:val="24"/>
        </w:rPr>
      </w:pPr>
      <w:r w:rsidRPr="00A52896">
        <w:rPr>
          <w:sz w:val="24"/>
          <w:szCs w:val="24"/>
        </w:rPr>
        <w:t>In Section 3, Heidegger outlines his</w:t>
      </w:r>
      <w:r w:rsidR="004F7FAF" w:rsidRPr="00A52896">
        <w:rPr>
          <w:sz w:val="24"/>
          <w:szCs w:val="24"/>
        </w:rPr>
        <w:t xml:space="preserve"> ambitious plan for the wh</w:t>
      </w:r>
      <w:r w:rsidRPr="00A52896">
        <w:rPr>
          <w:sz w:val="24"/>
          <w:szCs w:val="24"/>
        </w:rPr>
        <w:t>ole lecture-course</w:t>
      </w:r>
      <w:r w:rsidR="004F7FAF" w:rsidRPr="00A52896">
        <w:rPr>
          <w:sz w:val="24"/>
          <w:szCs w:val="24"/>
        </w:rPr>
        <w:t xml:space="preserve">: </w:t>
      </w:r>
    </w:p>
    <w:p w:rsidR="004F7FAF" w:rsidRPr="00A52896" w:rsidRDefault="004F7FAF" w:rsidP="00F11E8C">
      <w:pPr>
        <w:rPr>
          <w:sz w:val="24"/>
          <w:szCs w:val="24"/>
        </w:rPr>
      </w:pPr>
      <w:r w:rsidRPr="00A52896">
        <w:rPr>
          <w:sz w:val="24"/>
          <w:szCs w:val="24"/>
        </w:rPr>
        <w:t>Preliminary Part (pp. 13-131), which includes Chapter 1 (pp. 13-26), Chapter 2 (pp. 27-89), and Chapter 3 (pp. 90-131).</w:t>
      </w:r>
    </w:p>
    <w:p w:rsidR="00723822" w:rsidRPr="00A52896" w:rsidRDefault="004F7FAF" w:rsidP="00F11E8C">
      <w:pPr>
        <w:rPr>
          <w:sz w:val="24"/>
          <w:szCs w:val="24"/>
        </w:rPr>
      </w:pPr>
      <w:r w:rsidRPr="00A52896">
        <w:rPr>
          <w:sz w:val="24"/>
          <w:szCs w:val="24"/>
        </w:rPr>
        <w:t>First Part (</w:t>
      </w:r>
      <w:r w:rsidR="006B67F4" w:rsidRPr="00A52896">
        <w:rPr>
          <w:sz w:val="24"/>
          <w:szCs w:val="24"/>
        </w:rPr>
        <w:t xml:space="preserve">“The analysis of the phenomenon of time and the determination of the concept of time”, or “The interpretation of Dasein on the basis of temporality and the explication of time as the transcendental horizon of the question of being”; </w:t>
      </w:r>
      <w:r w:rsidR="00723822" w:rsidRPr="00A52896">
        <w:rPr>
          <w:sz w:val="24"/>
          <w:szCs w:val="24"/>
        </w:rPr>
        <w:t>pp. 133-end).  This</w:t>
      </w:r>
      <w:r w:rsidRPr="00A52896">
        <w:rPr>
          <w:sz w:val="24"/>
          <w:szCs w:val="24"/>
        </w:rPr>
        <w:t xml:space="preserve"> includes</w:t>
      </w:r>
      <w:r w:rsidR="00723822" w:rsidRPr="00A52896">
        <w:rPr>
          <w:sz w:val="24"/>
          <w:szCs w:val="24"/>
        </w:rPr>
        <w:t>:</w:t>
      </w:r>
      <w:r w:rsidRPr="00A52896">
        <w:rPr>
          <w:sz w:val="24"/>
          <w:szCs w:val="24"/>
        </w:rPr>
        <w:t xml:space="preserve"> </w:t>
      </w:r>
    </w:p>
    <w:p w:rsidR="00723822" w:rsidRPr="00A52896" w:rsidRDefault="00F11E8C" w:rsidP="00F11E8C">
      <w:pPr>
        <w:rPr>
          <w:sz w:val="24"/>
          <w:szCs w:val="24"/>
        </w:rPr>
      </w:pPr>
      <w:r w:rsidRPr="00A52896">
        <w:rPr>
          <w:sz w:val="24"/>
          <w:szCs w:val="24"/>
        </w:rPr>
        <w:t xml:space="preserve">the four Chapters of </w:t>
      </w:r>
      <w:r w:rsidR="004F7FAF" w:rsidRPr="00A52896">
        <w:rPr>
          <w:sz w:val="24"/>
          <w:szCs w:val="24"/>
        </w:rPr>
        <w:t>Division</w:t>
      </w:r>
      <w:r w:rsidRPr="00A52896">
        <w:rPr>
          <w:sz w:val="24"/>
          <w:szCs w:val="24"/>
        </w:rPr>
        <w:t xml:space="preserve"> I</w:t>
      </w:r>
      <w:r w:rsidR="004F7FAF" w:rsidRPr="00A52896">
        <w:rPr>
          <w:sz w:val="24"/>
          <w:szCs w:val="24"/>
        </w:rPr>
        <w:t xml:space="preserve"> (</w:t>
      </w:r>
      <w:r w:rsidR="006B67F4" w:rsidRPr="00A52896">
        <w:rPr>
          <w:sz w:val="24"/>
          <w:szCs w:val="24"/>
        </w:rPr>
        <w:t xml:space="preserve">“The preparatory description of the field in which the phenomenon of time becomes manifest”, or “The preparatory fundamental analysis of Dasein”; </w:t>
      </w:r>
      <w:r w:rsidR="00723822" w:rsidRPr="00A52896">
        <w:rPr>
          <w:sz w:val="24"/>
          <w:szCs w:val="24"/>
        </w:rPr>
        <w:t>pp. 135-304);</w:t>
      </w:r>
      <w:r w:rsidR="004F7FAF" w:rsidRPr="00A52896">
        <w:rPr>
          <w:sz w:val="24"/>
          <w:szCs w:val="24"/>
        </w:rPr>
        <w:t xml:space="preserve"> and </w:t>
      </w:r>
    </w:p>
    <w:p w:rsidR="004F7FAF" w:rsidRPr="00A52896" w:rsidRDefault="004F7FAF" w:rsidP="00F11E8C">
      <w:pPr>
        <w:rPr>
          <w:sz w:val="24"/>
          <w:szCs w:val="24"/>
        </w:rPr>
      </w:pPr>
      <w:r w:rsidRPr="00A52896">
        <w:rPr>
          <w:sz w:val="24"/>
          <w:szCs w:val="24"/>
        </w:rPr>
        <w:t xml:space="preserve">the </w:t>
      </w:r>
      <w:r w:rsidR="00F11E8C" w:rsidRPr="00A52896">
        <w:rPr>
          <w:sz w:val="24"/>
          <w:szCs w:val="24"/>
        </w:rPr>
        <w:t xml:space="preserve">very </w:t>
      </w:r>
      <w:r w:rsidRPr="00A52896">
        <w:rPr>
          <w:sz w:val="24"/>
          <w:szCs w:val="24"/>
        </w:rPr>
        <w:t xml:space="preserve">beginning of the Division </w:t>
      </w:r>
      <w:r w:rsidR="00F11E8C" w:rsidRPr="00A52896">
        <w:rPr>
          <w:sz w:val="24"/>
          <w:szCs w:val="24"/>
        </w:rPr>
        <w:t xml:space="preserve">II </w:t>
      </w:r>
      <w:r w:rsidRPr="00A52896">
        <w:rPr>
          <w:sz w:val="24"/>
          <w:szCs w:val="24"/>
        </w:rPr>
        <w:t>(</w:t>
      </w:r>
      <w:r w:rsidR="006B67F4" w:rsidRPr="00A52896">
        <w:rPr>
          <w:sz w:val="24"/>
          <w:szCs w:val="24"/>
        </w:rPr>
        <w:t xml:space="preserve">“The exposition of time itself”, or “Dasein and temporality”; </w:t>
      </w:r>
      <w:r w:rsidRPr="00A52896">
        <w:rPr>
          <w:sz w:val="24"/>
          <w:szCs w:val="24"/>
        </w:rPr>
        <w:t>pp. 305-end).</w:t>
      </w:r>
    </w:p>
    <w:p w:rsidR="00723822" w:rsidRPr="00A52896" w:rsidRDefault="00F11E8C" w:rsidP="00723822">
      <w:pPr>
        <w:rPr>
          <w:sz w:val="24"/>
          <w:szCs w:val="24"/>
        </w:rPr>
      </w:pPr>
      <w:r w:rsidRPr="00A52896">
        <w:rPr>
          <w:sz w:val="24"/>
          <w:szCs w:val="24"/>
        </w:rPr>
        <w:t xml:space="preserve">Heidegger completes </w:t>
      </w:r>
      <w:r w:rsidR="004F7FAF" w:rsidRPr="00A52896">
        <w:rPr>
          <w:sz w:val="24"/>
          <w:szCs w:val="24"/>
        </w:rPr>
        <w:t xml:space="preserve">Division </w:t>
      </w:r>
      <w:r w:rsidRPr="00A52896">
        <w:rPr>
          <w:sz w:val="24"/>
          <w:szCs w:val="24"/>
        </w:rPr>
        <w:t xml:space="preserve">II </w:t>
      </w:r>
      <w:r w:rsidR="004F7FAF" w:rsidRPr="00A52896">
        <w:rPr>
          <w:sz w:val="24"/>
          <w:szCs w:val="24"/>
        </w:rPr>
        <w:t xml:space="preserve">of the First Part in </w:t>
      </w:r>
      <w:r w:rsidR="004F7FAF" w:rsidRPr="00A52896">
        <w:rPr>
          <w:i/>
          <w:iCs/>
          <w:sz w:val="24"/>
          <w:szCs w:val="24"/>
        </w:rPr>
        <w:t>Being and Time</w:t>
      </w:r>
      <w:r w:rsidR="004F7FAF" w:rsidRPr="00A52896">
        <w:rPr>
          <w:sz w:val="24"/>
          <w:szCs w:val="24"/>
        </w:rPr>
        <w:t xml:space="preserve">, but never </w:t>
      </w:r>
      <w:r w:rsidRPr="00A52896">
        <w:rPr>
          <w:sz w:val="24"/>
          <w:szCs w:val="24"/>
        </w:rPr>
        <w:t xml:space="preserve">gets around to writing </w:t>
      </w:r>
      <w:r w:rsidR="004F7FAF" w:rsidRPr="00A52896">
        <w:rPr>
          <w:sz w:val="24"/>
          <w:szCs w:val="24"/>
        </w:rPr>
        <w:t xml:space="preserve">Division </w:t>
      </w:r>
      <w:r w:rsidRPr="00A52896">
        <w:rPr>
          <w:sz w:val="24"/>
          <w:szCs w:val="24"/>
        </w:rPr>
        <w:t xml:space="preserve">III </w:t>
      </w:r>
      <w:r w:rsidR="006B67F4" w:rsidRPr="00A52896">
        <w:rPr>
          <w:sz w:val="24"/>
          <w:szCs w:val="24"/>
        </w:rPr>
        <w:t xml:space="preserve">(“The conceptual interpretation of time”, or “Time and being”) </w:t>
      </w:r>
      <w:r w:rsidR="004F7FAF" w:rsidRPr="00A52896">
        <w:rPr>
          <w:sz w:val="24"/>
          <w:szCs w:val="24"/>
        </w:rPr>
        <w:t xml:space="preserve">of the First Part.  </w:t>
      </w:r>
    </w:p>
    <w:p w:rsidR="00F11E8C" w:rsidRPr="00A52896" w:rsidRDefault="004F7FAF" w:rsidP="006B67F4">
      <w:pPr>
        <w:spacing w:after="120"/>
        <w:rPr>
          <w:sz w:val="24"/>
          <w:szCs w:val="24"/>
        </w:rPr>
      </w:pPr>
      <w:r w:rsidRPr="00A52896">
        <w:rPr>
          <w:sz w:val="24"/>
          <w:szCs w:val="24"/>
        </w:rPr>
        <w:t xml:space="preserve">He also envisioned </w:t>
      </w:r>
      <w:r w:rsidR="00723822" w:rsidRPr="00A52896">
        <w:rPr>
          <w:sz w:val="24"/>
          <w:szCs w:val="24"/>
        </w:rPr>
        <w:t xml:space="preserve">a </w:t>
      </w:r>
      <w:r w:rsidRPr="00A52896">
        <w:rPr>
          <w:sz w:val="24"/>
          <w:szCs w:val="24"/>
        </w:rPr>
        <w:t xml:space="preserve">Second </w:t>
      </w:r>
      <w:r w:rsidR="00723822" w:rsidRPr="00A52896">
        <w:rPr>
          <w:sz w:val="24"/>
          <w:szCs w:val="24"/>
        </w:rPr>
        <w:t xml:space="preserve">Part </w:t>
      </w:r>
      <w:r w:rsidR="006B67F4" w:rsidRPr="00A52896">
        <w:rPr>
          <w:sz w:val="24"/>
          <w:szCs w:val="24"/>
        </w:rPr>
        <w:t xml:space="preserve">(“The history of the concept of time”) </w:t>
      </w:r>
      <w:r w:rsidRPr="00A52896">
        <w:rPr>
          <w:sz w:val="24"/>
          <w:szCs w:val="24"/>
        </w:rPr>
        <w:t xml:space="preserve">and </w:t>
      </w:r>
      <w:r w:rsidR="00723822" w:rsidRPr="00A52896">
        <w:rPr>
          <w:sz w:val="24"/>
          <w:szCs w:val="24"/>
        </w:rPr>
        <w:t>a Third Part</w:t>
      </w:r>
      <w:r w:rsidRPr="00A52896">
        <w:rPr>
          <w:sz w:val="24"/>
          <w:szCs w:val="24"/>
        </w:rPr>
        <w:t xml:space="preserve"> </w:t>
      </w:r>
      <w:r w:rsidR="006B67F4" w:rsidRPr="00A52896">
        <w:rPr>
          <w:sz w:val="24"/>
          <w:szCs w:val="24"/>
        </w:rPr>
        <w:t xml:space="preserve">(“The initial conceptual discovery of time in Aristotle”) </w:t>
      </w:r>
      <w:r w:rsidRPr="00A52896">
        <w:rPr>
          <w:sz w:val="24"/>
          <w:szCs w:val="24"/>
        </w:rPr>
        <w:t>t</w:t>
      </w:r>
      <w:r w:rsidR="006B67F4" w:rsidRPr="00A52896">
        <w:rPr>
          <w:sz w:val="24"/>
          <w:szCs w:val="24"/>
        </w:rPr>
        <w:t>o the whole proje</w:t>
      </w:r>
      <w:r w:rsidR="00723822" w:rsidRPr="00A52896">
        <w:rPr>
          <w:sz w:val="24"/>
          <w:szCs w:val="24"/>
        </w:rPr>
        <w:t>ct.  I</w:t>
      </w:r>
      <w:r w:rsidR="006B67F4" w:rsidRPr="00A52896">
        <w:rPr>
          <w:sz w:val="24"/>
          <w:szCs w:val="24"/>
        </w:rPr>
        <w:t xml:space="preserve">n </w:t>
      </w:r>
      <w:r w:rsidR="006B67F4" w:rsidRPr="00A52896">
        <w:rPr>
          <w:i/>
          <w:iCs/>
          <w:sz w:val="24"/>
          <w:szCs w:val="24"/>
        </w:rPr>
        <w:t>Being and Time</w:t>
      </w:r>
      <w:r w:rsidR="006B67F4" w:rsidRPr="00A52896">
        <w:rPr>
          <w:sz w:val="24"/>
          <w:szCs w:val="24"/>
        </w:rPr>
        <w:t>, Heidegger compacted these into a single Second Part (</w:t>
      </w:r>
      <w:r w:rsidR="00723822" w:rsidRPr="00A52896">
        <w:rPr>
          <w:sz w:val="24"/>
          <w:szCs w:val="24"/>
        </w:rPr>
        <w:t>“Basic features of a phenomenological destructuring of the history of ontology on the guideline of the problem of temporality”)</w:t>
      </w:r>
      <w:r w:rsidR="006B67F4" w:rsidRPr="00A52896">
        <w:rPr>
          <w:sz w:val="24"/>
          <w:szCs w:val="24"/>
        </w:rPr>
        <w:t xml:space="preserve">, </w:t>
      </w:r>
      <w:r w:rsidR="00723822" w:rsidRPr="00A52896">
        <w:rPr>
          <w:sz w:val="24"/>
          <w:szCs w:val="24"/>
        </w:rPr>
        <w:t xml:space="preserve">which would move backwards from Kant through Descartes and back to Aristotle.  He made some serious headway on the Kant discussion at the beginning of the Second Part in his 1929 book </w:t>
      </w:r>
      <w:r w:rsidR="00723822" w:rsidRPr="00A52896">
        <w:rPr>
          <w:i/>
          <w:iCs/>
          <w:sz w:val="24"/>
          <w:szCs w:val="24"/>
        </w:rPr>
        <w:t>Kant and the Problem of Metaphysics</w:t>
      </w:r>
      <w:r w:rsidR="00723822" w:rsidRPr="00A52896">
        <w:rPr>
          <w:sz w:val="24"/>
          <w:szCs w:val="24"/>
        </w:rPr>
        <w:t>, but</w:t>
      </w:r>
      <w:r w:rsidR="006B67F4" w:rsidRPr="00A52896">
        <w:rPr>
          <w:sz w:val="24"/>
          <w:szCs w:val="24"/>
        </w:rPr>
        <w:t xml:space="preserve"> eventually </w:t>
      </w:r>
      <w:r w:rsidRPr="00A52896">
        <w:rPr>
          <w:sz w:val="24"/>
          <w:szCs w:val="24"/>
        </w:rPr>
        <w:t>abandoned</w:t>
      </w:r>
      <w:r w:rsidR="00723822" w:rsidRPr="00A52896">
        <w:rPr>
          <w:sz w:val="24"/>
          <w:szCs w:val="24"/>
        </w:rPr>
        <w:t xml:space="preserve"> the whole program of </w:t>
      </w:r>
      <w:r w:rsidR="00723822" w:rsidRPr="00A52896">
        <w:rPr>
          <w:i/>
          <w:iCs/>
          <w:sz w:val="24"/>
          <w:szCs w:val="24"/>
        </w:rPr>
        <w:t>Being and Time</w:t>
      </w:r>
      <w:r w:rsidRPr="00A52896">
        <w:rPr>
          <w:sz w:val="24"/>
          <w:szCs w:val="24"/>
        </w:rPr>
        <w:t>.</w:t>
      </w:r>
    </w:p>
    <w:p w:rsidR="002856E4" w:rsidRPr="00A52896" w:rsidRDefault="00F11E8C" w:rsidP="00766046">
      <w:pPr>
        <w:spacing w:after="120"/>
        <w:rPr>
          <w:sz w:val="24"/>
          <w:szCs w:val="24"/>
        </w:rPr>
      </w:pPr>
      <w:r w:rsidRPr="00A52896">
        <w:rPr>
          <w:sz w:val="24"/>
          <w:szCs w:val="24"/>
        </w:rPr>
        <w:t>3.</w:t>
      </w:r>
      <w:r w:rsidR="002D6F0D" w:rsidRPr="00A52896">
        <w:rPr>
          <w:sz w:val="24"/>
          <w:szCs w:val="24"/>
        </w:rPr>
        <w:t xml:space="preserve"> In Section 4</w:t>
      </w:r>
      <w:r w:rsidR="00293D17" w:rsidRPr="00A52896">
        <w:rPr>
          <w:sz w:val="24"/>
          <w:szCs w:val="24"/>
        </w:rPr>
        <w:t>, Heidegger gives his interpretation of the history of (German and French) philosophy since the middle of the 19</w:t>
      </w:r>
      <w:r w:rsidR="00293D17" w:rsidRPr="00A52896">
        <w:rPr>
          <w:sz w:val="24"/>
          <w:szCs w:val="24"/>
          <w:vertAlign w:val="superscript"/>
        </w:rPr>
        <w:t>th</w:t>
      </w:r>
      <w:r w:rsidR="002856E4" w:rsidRPr="00A52896">
        <w:rPr>
          <w:sz w:val="24"/>
          <w:szCs w:val="24"/>
        </w:rPr>
        <w:t xml:space="preserve"> Century.  Try to outline the major steps in this history</w:t>
      </w:r>
      <w:r w:rsidR="002D6F0D" w:rsidRPr="00A52896">
        <w:rPr>
          <w:sz w:val="24"/>
          <w:szCs w:val="24"/>
        </w:rPr>
        <w:t xml:space="preserve">, including Positivism, neo-Kantianism, </w:t>
      </w:r>
      <w:r w:rsidR="006B67F4" w:rsidRPr="00A52896">
        <w:rPr>
          <w:sz w:val="24"/>
          <w:szCs w:val="24"/>
        </w:rPr>
        <w:t xml:space="preserve">and </w:t>
      </w:r>
      <w:r w:rsidR="002D6F0D" w:rsidRPr="00A52896">
        <w:rPr>
          <w:sz w:val="24"/>
          <w:szCs w:val="24"/>
        </w:rPr>
        <w:t>Dilthey</w:t>
      </w:r>
      <w:r w:rsidR="006B67F4" w:rsidRPr="00A52896">
        <w:rPr>
          <w:sz w:val="24"/>
          <w:szCs w:val="24"/>
        </w:rPr>
        <w:t>.</w:t>
      </w:r>
    </w:p>
    <w:p w:rsidR="00766046" w:rsidRPr="00A52896" w:rsidRDefault="006B67F4" w:rsidP="00293605">
      <w:pPr>
        <w:spacing w:after="120"/>
        <w:rPr>
          <w:b/>
          <w:bCs/>
          <w:sz w:val="24"/>
          <w:szCs w:val="24"/>
        </w:rPr>
      </w:pPr>
      <w:r w:rsidRPr="00A52896">
        <w:rPr>
          <w:sz w:val="24"/>
          <w:szCs w:val="24"/>
        </w:rPr>
        <w:t xml:space="preserve">4. Heidegger regards the concept of </w:t>
      </w:r>
      <w:r w:rsidRPr="00A52896">
        <w:rPr>
          <w:i/>
          <w:iCs/>
          <w:sz w:val="24"/>
          <w:szCs w:val="24"/>
        </w:rPr>
        <w:t>intentionality</w:t>
      </w:r>
      <w:r w:rsidRPr="00A52896">
        <w:rPr>
          <w:sz w:val="24"/>
          <w:szCs w:val="24"/>
        </w:rPr>
        <w:t xml:space="preserve"> as Franz Brentano’s great innovation.  Explain</w:t>
      </w:r>
      <w:r w:rsidR="00A52896" w:rsidRPr="00A52896">
        <w:rPr>
          <w:sz w:val="24"/>
          <w:szCs w:val="24"/>
        </w:rPr>
        <w:t xml:space="preserve"> this concept in your own words, giving an example.</w:t>
      </w:r>
    </w:p>
    <w:p w:rsidR="00766046" w:rsidRPr="00A52896" w:rsidRDefault="00766046">
      <w:pPr>
        <w:rPr>
          <w:sz w:val="24"/>
          <w:szCs w:val="24"/>
        </w:rPr>
      </w:pPr>
    </w:p>
    <w:p w:rsidR="00A52896" w:rsidRPr="00A52896" w:rsidRDefault="00A52896">
      <w:pPr>
        <w:rPr>
          <w:sz w:val="24"/>
          <w:szCs w:val="24"/>
        </w:rPr>
      </w:pPr>
    </w:p>
    <w:sectPr w:rsidR="00A52896" w:rsidRPr="00A52896" w:rsidSect="00FD2A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8E" w:rsidRDefault="001B258E">
      <w:r>
        <w:separator/>
      </w:r>
    </w:p>
  </w:endnote>
  <w:endnote w:type="continuationSeparator" w:id="0">
    <w:p w:rsidR="001B258E" w:rsidRDefault="001B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4D" w:rsidRDefault="0043214D" w:rsidP="0072382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453">
      <w:rPr>
        <w:rStyle w:val="PageNumber"/>
        <w:noProof/>
      </w:rPr>
      <w:t>1</w:t>
    </w:r>
    <w:r>
      <w:rPr>
        <w:rStyle w:val="PageNumber"/>
      </w:rPr>
      <w:fldChar w:fldCharType="end"/>
    </w:r>
  </w:p>
  <w:p w:rsidR="0043214D" w:rsidRDefault="0043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8E" w:rsidRDefault="001B258E">
      <w:r>
        <w:separator/>
      </w:r>
    </w:p>
  </w:footnote>
  <w:footnote w:type="continuationSeparator" w:id="0">
    <w:p w:rsidR="001B258E" w:rsidRDefault="001B2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46"/>
    <w:rsid w:val="00002A8E"/>
    <w:rsid w:val="00017742"/>
    <w:rsid w:val="00047283"/>
    <w:rsid w:val="00050016"/>
    <w:rsid w:val="00050453"/>
    <w:rsid w:val="00074C45"/>
    <w:rsid w:val="00087F89"/>
    <w:rsid w:val="000A7C9C"/>
    <w:rsid w:val="00101976"/>
    <w:rsid w:val="00104F79"/>
    <w:rsid w:val="001221A2"/>
    <w:rsid w:val="00123D88"/>
    <w:rsid w:val="001814E7"/>
    <w:rsid w:val="00187901"/>
    <w:rsid w:val="00192B56"/>
    <w:rsid w:val="00195160"/>
    <w:rsid w:val="001955A3"/>
    <w:rsid w:val="001A5C46"/>
    <w:rsid w:val="001B0C3F"/>
    <w:rsid w:val="001B258E"/>
    <w:rsid w:val="002316A8"/>
    <w:rsid w:val="00257529"/>
    <w:rsid w:val="002856E4"/>
    <w:rsid w:val="0029016E"/>
    <w:rsid w:val="00293605"/>
    <w:rsid w:val="00293D17"/>
    <w:rsid w:val="002A73A5"/>
    <w:rsid w:val="002D680D"/>
    <w:rsid w:val="002D6F0D"/>
    <w:rsid w:val="003024E4"/>
    <w:rsid w:val="00313565"/>
    <w:rsid w:val="00315D45"/>
    <w:rsid w:val="00321BBD"/>
    <w:rsid w:val="00336E10"/>
    <w:rsid w:val="00380FC3"/>
    <w:rsid w:val="00384D94"/>
    <w:rsid w:val="003C77C9"/>
    <w:rsid w:val="003D1D9C"/>
    <w:rsid w:val="00412511"/>
    <w:rsid w:val="0043214D"/>
    <w:rsid w:val="00476E1F"/>
    <w:rsid w:val="00487E33"/>
    <w:rsid w:val="004B4B46"/>
    <w:rsid w:val="004D49C4"/>
    <w:rsid w:val="004F7FAF"/>
    <w:rsid w:val="005167D3"/>
    <w:rsid w:val="00536C3E"/>
    <w:rsid w:val="005420E5"/>
    <w:rsid w:val="0054771B"/>
    <w:rsid w:val="0055214B"/>
    <w:rsid w:val="0055405E"/>
    <w:rsid w:val="00567647"/>
    <w:rsid w:val="00605297"/>
    <w:rsid w:val="0060576E"/>
    <w:rsid w:val="00623B24"/>
    <w:rsid w:val="006364AD"/>
    <w:rsid w:val="006B67F4"/>
    <w:rsid w:val="006F4499"/>
    <w:rsid w:val="00723822"/>
    <w:rsid w:val="00731CCC"/>
    <w:rsid w:val="00756E44"/>
    <w:rsid w:val="00766046"/>
    <w:rsid w:val="00785E64"/>
    <w:rsid w:val="007B3237"/>
    <w:rsid w:val="007D3CCB"/>
    <w:rsid w:val="007E3841"/>
    <w:rsid w:val="00822258"/>
    <w:rsid w:val="00841B3C"/>
    <w:rsid w:val="00843BE6"/>
    <w:rsid w:val="008647AF"/>
    <w:rsid w:val="00870CDE"/>
    <w:rsid w:val="008D5832"/>
    <w:rsid w:val="008E10EA"/>
    <w:rsid w:val="008F4EF1"/>
    <w:rsid w:val="0099191E"/>
    <w:rsid w:val="009A03D0"/>
    <w:rsid w:val="009B5F3A"/>
    <w:rsid w:val="009D052D"/>
    <w:rsid w:val="009D1450"/>
    <w:rsid w:val="009E0443"/>
    <w:rsid w:val="00A13D49"/>
    <w:rsid w:val="00A14CA4"/>
    <w:rsid w:val="00A52896"/>
    <w:rsid w:val="00A86D9D"/>
    <w:rsid w:val="00B17E2C"/>
    <w:rsid w:val="00B401F1"/>
    <w:rsid w:val="00B44B18"/>
    <w:rsid w:val="00B4663A"/>
    <w:rsid w:val="00B53E7E"/>
    <w:rsid w:val="00B622E2"/>
    <w:rsid w:val="00B74DCD"/>
    <w:rsid w:val="00B75105"/>
    <w:rsid w:val="00C009DE"/>
    <w:rsid w:val="00C31751"/>
    <w:rsid w:val="00C32A37"/>
    <w:rsid w:val="00C3636B"/>
    <w:rsid w:val="00C54D4F"/>
    <w:rsid w:val="00C642AD"/>
    <w:rsid w:val="00C7114A"/>
    <w:rsid w:val="00D01F2F"/>
    <w:rsid w:val="00D0439A"/>
    <w:rsid w:val="00D07745"/>
    <w:rsid w:val="00D704E4"/>
    <w:rsid w:val="00DA3649"/>
    <w:rsid w:val="00DB5F78"/>
    <w:rsid w:val="00DC3791"/>
    <w:rsid w:val="00DF47CF"/>
    <w:rsid w:val="00DF6097"/>
    <w:rsid w:val="00E3638B"/>
    <w:rsid w:val="00E45118"/>
    <w:rsid w:val="00E91C02"/>
    <w:rsid w:val="00EE1BD2"/>
    <w:rsid w:val="00EF6ED3"/>
    <w:rsid w:val="00F07667"/>
    <w:rsid w:val="00F11E8C"/>
    <w:rsid w:val="00F2429A"/>
    <w:rsid w:val="00F25417"/>
    <w:rsid w:val="00F86BC2"/>
    <w:rsid w:val="00FA0F81"/>
    <w:rsid w:val="00FA1CAD"/>
    <w:rsid w:val="00FB44A4"/>
    <w:rsid w:val="00FD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8C40314-D14C-41F9-ACA8-5D15F31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46"/>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66046"/>
    <w:pPr>
      <w:overflowPunct/>
      <w:autoSpaceDE/>
      <w:autoSpaceDN/>
      <w:adjustRightInd/>
      <w:spacing w:before="100" w:beforeAutospacing="1" w:after="100" w:afterAutospacing="1"/>
      <w:textAlignment w:val="auto"/>
    </w:pPr>
    <w:rPr>
      <w:sz w:val="24"/>
      <w:szCs w:val="24"/>
    </w:rPr>
  </w:style>
  <w:style w:type="paragraph" w:styleId="Footer">
    <w:name w:val="footer"/>
    <w:basedOn w:val="Normal"/>
    <w:rsid w:val="006B67F4"/>
    <w:pPr>
      <w:tabs>
        <w:tab w:val="center" w:pos="4320"/>
        <w:tab w:val="right" w:pos="8640"/>
      </w:tabs>
    </w:pPr>
  </w:style>
  <w:style w:type="character" w:styleId="PageNumber">
    <w:name w:val="page number"/>
    <w:basedOn w:val="DefaultParagraphFont"/>
    <w:rsid w:val="006B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Phenomenology and Foucault; Prof</vt:lpstr>
    </vt:vector>
  </TitlesOfParts>
  <Company>University of Northern Iowa</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Foucault; Prof</dc:title>
  <dc:subject/>
  <dc:creator>Edgar C. Boedeker, Jr.</dc:creator>
  <cp:keywords/>
  <dc:description/>
  <cp:lastModifiedBy>Edgar C Boedeker</cp:lastModifiedBy>
  <cp:revision>2</cp:revision>
  <dcterms:created xsi:type="dcterms:W3CDTF">2017-08-21T22:23:00Z</dcterms:created>
  <dcterms:modified xsi:type="dcterms:W3CDTF">2017-08-21T22:23:00Z</dcterms:modified>
</cp:coreProperties>
</file>