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gif" ContentType="image/gif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00" w:type="dxa"/>
        <w:tblCellSpacing w:w="1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37"/>
        <w:gridCol w:w="12032"/>
      </w:tblGrid>
      <w:tr w:rsidR="00000000">
        <w:trPr>
          <w:divId w:val="359431709"/>
          <w:tblCellSpacing w:w="1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00000" w:rsidRDefault="00F422C9">
            <w:pPr>
              <w:jc w:val="center"/>
              <w:rPr>
                <w:rFonts w:ascii="Geneva" w:hAnsi="Geneva"/>
                <w:sz w:val="15"/>
                <w:szCs w:val="15"/>
              </w:rPr>
            </w:pPr>
            <w:r>
              <w:rPr>
                <w:rFonts w:ascii="Geneva" w:hAnsi="Geneva"/>
                <w:sz w:val="15"/>
                <w:szCs w:val="15"/>
              </w:rPr>
              <w:fldChar w:fldCharType="begin" w:fldLock="1"/>
            </w:r>
            <w:r>
              <w:rPr>
                <w:rFonts w:ascii="Geneva" w:hAnsi="Geneva"/>
                <w:sz w:val="15"/>
                <w:szCs w:val="15"/>
              </w:rPr>
              <w:instrText xml:space="preserve"> </w:instrText>
            </w:r>
            <w:r>
              <w:rPr>
                <w:rFonts w:ascii="Geneva" w:hAnsi="Geneva"/>
                <w:sz w:val="15"/>
                <w:szCs w:val="15"/>
              </w:rPr>
              <w:instrText>INCLUDEPICTURE  \d "http://www.uni.edu/familyweekend/graphics/banner.gif" \* MERGEFORMATINET</w:instrText>
            </w:r>
            <w:r>
              <w:rPr>
                <w:rFonts w:ascii="Geneva" w:hAnsi="Geneva"/>
                <w:sz w:val="15"/>
                <w:szCs w:val="15"/>
              </w:rPr>
              <w:instrText xml:space="preserve"> </w:instrText>
            </w:r>
            <w:r>
              <w:rPr>
                <w:rFonts w:ascii="Geneva" w:hAnsi="Geneva"/>
                <w:sz w:val="15"/>
                <w:szCs w:val="15"/>
              </w:rPr>
              <w:fldChar w:fldCharType="separate"/>
            </w:r>
            <w:r w:rsidR="00C03C43">
              <w:rPr>
                <w:rFonts w:ascii="Geneva" w:hAnsi="Geneva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NI Family Weekend" style="width:666pt;height:152.65pt">
                  <v:imagedata r:id="rId4" r:href="rId5"/>
                </v:shape>
              </w:pict>
            </w:r>
            <w:r>
              <w:rPr>
                <w:rFonts w:ascii="Geneva" w:hAnsi="Geneva"/>
                <w:sz w:val="15"/>
                <w:szCs w:val="15"/>
              </w:rPr>
              <w:fldChar w:fldCharType="end"/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00000" w:rsidRDefault="00F422C9">
            <w:pPr>
              <w:pStyle w:val="Heading3"/>
              <w:jc w:val="center"/>
              <w:rPr>
                <w:rFonts w:ascii="Geneva" w:hAnsi="Geneva"/>
                <w:szCs w:val="15"/>
              </w:rPr>
            </w:pPr>
            <w:r>
              <w:rPr>
                <w:rFonts w:ascii="Geneva" w:hAnsi="Geneva"/>
                <w:szCs w:val="15"/>
              </w:rPr>
              <w:t>Friday, September 19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2880" w:type="dxa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a.m. to 8 p.m.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Wellness Recreation Center open to students and families.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to 6:15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Dinner at Piazza (Redeker Center) and Rialto (Towers Center)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Soccer vs. South Dakota State, Cedar Vally Soccer fields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Volleyball vs. Drake, McLeod Center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7:30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International Dance Theatre and Orchesis performance, a mix of jazz, modern, multicultural and ballroom dance styles in the Gallagher-Bluedorn Performing Arts Center, Davis Hall. Free admission.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View the planets and the stars, UNI Hillside Observatory (access from Jennings Drive south of Hillside Courts). If cloudy, visit the planetarium in the Department of Earth Science, Latham Hall.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00000" w:rsidRDefault="00F422C9">
            <w:pPr>
              <w:pStyle w:val="Heading3"/>
              <w:jc w:val="center"/>
              <w:rPr>
                <w:rFonts w:ascii="Geneva" w:hAnsi="Geneva"/>
                <w:szCs w:val="15"/>
              </w:rPr>
            </w:pPr>
            <w:r>
              <w:rPr>
                <w:rFonts w:ascii="Geneva" w:hAnsi="Geneva"/>
                <w:szCs w:val="15"/>
              </w:rPr>
              <w:t>Saturday, September 20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a.m. to 3:30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Wellness R</w:t>
            </w:r>
            <w:r>
              <w:rPr>
                <w:sz w:val="15"/>
                <w:szCs w:val="15"/>
              </w:rPr>
              <w:t>ecreation Center. Family time all day, includes gyms, fitness areas, recquetball courts.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a.m. to 3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WRC lap and leisure pools and climbing wall available.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9-11 a.m.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JPEC Student Incubators open house. Tour the Incubator facility in Business</w:t>
            </w:r>
            <w:r>
              <w:rPr>
                <w:sz w:val="15"/>
                <w:szCs w:val="15"/>
              </w:rPr>
              <w:t xml:space="preserve"> &amp; Community Services 128.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9:30 a.m. to noon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Center for Energy &amp; Environmental Education open house. Building tours at 10 and 11 a.m.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a.m. to noon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Alumni House open house.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a.m. to noon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University Honors Program open house.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a.m. to noon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Botanical Center, tour the greenhouses.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a.m. to noon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Gilchrist, tour the newly-restored space.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10-11:30 a.m.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Tour an award-winning national public radio station, UNI's own </w:t>
            </w:r>
            <w:r>
              <w:rPr>
                <w:sz w:val="15"/>
                <w:szCs w:val="15"/>
              </w:rPr>
              <w:t>KUNI/KHKE. Third floor of the Communication Arts Center.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10-11 a.m.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College of Education 245-246 Schindler Education Center. Student opportunities within the Curriculum &amp; Instruction and Special Education Departments.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a.m. to 1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Study Abro</w:t>
            </w:r>
            <w:r>
              <w:rPr>
                <w:sz w:val="15"/>
                <w:szCs w:val="15"/>
              </w:rPr>
              <w:t>ad Open House in Gilchrist Hall Rooms 007 and 009. Information about study, work, research and internship opportunities in almost 50 countries.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a.m. to 2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St. Stephen the Witness open house.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a.m. to 12:30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College of Education open house, Schindler Education Center Lobby. Exhibits, displays, refreshments, demonstrations by various student groups and program information.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a.m. to 2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College of Natural Sciences open houses. Chemistry and Biochemistr</w:t>
            </w:r>
            <w:r>
              <w:rPr>
                <w:sz w:val="15"/>
                <w:szCs w:val="15"/>
              </w:rPr>
              <w:t>y (McCollum Science Hall 201, chemistry magic show at 11 a.m. and 1 p.m.), Computer Science (Innovative Teaching and Technology Center 322), Earth Science (Latham Hall), Industrial Technology (Industrial Technology Center, Lee Thomson Student Lounge), Math</w:t>
            </w:r>
            <w:r>
              <w:rPr>
                <w:sz w:val="15"/>
                <w:szCs w:val="15"/>
              </w:rPr>
              <w:t>ematics (Wright Hall 338), Physics (Begeman Hall 114), and Biology Botanical Center.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a.m. to 2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Family Feast Tailgate, Maucker Union Plaza. Enjoy an obstacle course, face painting and digital photos in the giant inflatable chair. Meet the cheer</w:t>
            </w:r>
            <w:r>
              <w:rPr>
                <w:sz w:val="15"/>
                <w:szCs w:val="15"/>
              </w:rPr>
              <w:t xml:space="preserve"> squad and TC!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a.m. to 4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Marshall Center One-room schoolhouse at the corner of 23rd and Indiana Street. A costumed interpreter will be on hand to recreate a typical school day in the life of a 1922 rural Iowa student. Free.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11:30 a.m. to 1:15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Lunch at Piazza and Rialto.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11:30 a.m. to 1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CBA picnic, College of Business Open House, first floor lobby of Curris Business Building.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12:30 to 2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 picnic, Marshall Center lawn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to 4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University Museum's featured exhibit, "Visions of Africa: Art and Ritual," a display of intricately carved masks and sculptures from west and central Africa. Documentaries featuring their mask-making techniques and ceremonial rituals will be run on the hal</w:t>
            </w:r>
            <w:r>
              <w:rPr>
                <w:sz w:val="15"/>
                <w:szCs w:val="15"/>
              </w:rPr>
              <w:t>f-hour from 1 to 4 p.m. Free. 3219 Hudson Road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to 3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root beer floats at Piazza and Rialto.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4:05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Panther Football vs. South Dakota State, UNI-Dome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jc w:val="center"/>
              <w:rPr>
                <w:rFonts w:ascii="Geneva" w:hAnsi="Geneva"/>
                <w:sz w:val="15"/>
                <w:szCs w:val="15"/>
              </w:rPr>
            </w:pPr>
            <w:r>
              <w:rPr>
                <w:rFonts w:ascii="Geneva" w:hAnsi="Geneva"/>
                <w:sz w:val="15"/>
                <w:szCs w:val="15"/>
              </w:rPr>
              <w:t>7 to 8:15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jc w:val="center"/>
              <w:rPr>
                <w:rFonts w:ascii="Geneva" w:hAnsi="Geneva"/>
                <w:sz w:val="15"/>
                <w:szCs w:val="15"/>
              </w:rPr>
            </w:pPr>
            <w:r>
              <w:rPr>
                <w:rFonts w:ascii="Geneva" w:hAnsi="Geneva"/>
                <w:sz w:val="15"/>
                <w:szCs w:val="15"/>
              </w:rPr>
              <w:t>Dinner at Piazza and Rialto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jc w:val="center"/>
              <w:rPr>
                <w:rFonts w:ascii="Geneva" w:hAnsi="Geneva"/>
                <w:sz w:val="15"/>
                <w:szCs w:val="15"/>
              </w:rPr>
            </w:pPr>
            <w:r>
              <w:rPr>
                <w:rFonts w:ascii="Geneva" w:hAnsi="Geneva"/>
                <w:sz w:val="15"/>
                <w:szCs w:val="15"/>
              </w:rPr>
              <w:t>7:30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jc w:val="center"/>
              <w:rPr>
                <w:rFonts w:ascii="Geneva" w:hAnsi="Geneva"/>
                <w:sz w:val="15"/>
                <w:szCs w:val="15"/>
              </w:rPr>
            </w:pPr>
            <w:r>
              <w:rPr>
                <w:rFonts w:ascii="Geneva" w:hAnsi="Geneva"/>
                <w:sz w:val="15"/>
                <w:szCs w:val="15"/>
              </w:rPr>
              <w:t>Volleyball vs. Creighton, McLeod Center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gridSpan w:val="2"/>
            <w:shd w:val="clear" w:color="auto" w:fill="auto"/>
          </w:tcPr>
          <w:p w:rsidR="00000000" w:rsidRDefault="00F422C9">
            <w:pPr>
              <w:pStyle w:val="Heading3"/>
              <w:jc w:val="center"/>
              <w:rPr>
                <w:rFonts w:ascii="Geneva" w:hAnsi="Geneva"/>
                <w:szCs w:val="15"/>
              </w:rPr>
            </w:pPr>
            <w:r>
              <w:rPr>
                <w:rFonts w:ascii="Geneva" w:hAnsi="Geneva"/>
                <w:szCs w:val="15"/>
              </w:rPr>
              <w:t>Sunday, September 21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11:30 a.m.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Brunch will be served for students and their families immediately following the 10:30 a.m. Mass at St. Stephen the Witness Catholic Student </w:t>
            </w:r>
            <w:r>
              <w:rPr>
                <w:sz w:val="15"/>
                <w:szCs w:val="15"/>
              </w:rPr>
              <w:t>Center. Brunch reservations must be made by Monday, September 15. (319) 266-9863.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11:30 a.m. to 1:15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Lunch at Piazza and Rialto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Soccer vs. North Dakota State, Cedar Valley Soccer Fields.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International Dance Theatre and Orchesis performance, a mix of jazz, modern, multicultural and ballroom dance styles in the Gallagher-Bluedorn Performing Arts Center, Davis Hall. Free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to 8 p.m.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Wellness Recreation Center open to students and familie</w:t>
            </w:r>
            <w:r>
              <w:rPr>
                <w:sz w:val="15"/>
                <w:szCs w:val="15"/>
              </w:rPr>
              <w:t>s.</w:t>
            </w:r>
          </w:p>
        </w:tc>
      </w:tr>
      <w:tr w:rsidR="00000000">
        <w:trPr>
          <w:divId w:val="359431709"/>
          <w:tblCellSpacing w:w="10" w:type="dxa"/>
        </w:trPr>
        <w:tc>
          <w:tcPr>
            <w:tcW w:w="0" w:type="auto"/>
            <w:shd w:val="clear" w:color="auto" w:fill="auto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000" w:rsidRDefault="00F422C9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</w:tbl>
    <w:p w:rsidR="00000000" w:rsidRDefault="00F422C9">
      <w:pPr>
        <w:pStyle w:val="NormalWeb"/>
        <w:shd w:val="clear" w:color="auto" w:fill="FFFFFF"/>
        <w:divId w:val="359431709"/>
        <w:rPr>
          <w:sz w:val="15"/>
          <w:szCs w:val="15"/>
        </w:rPr>
      </w:pPr>
      <w:r>
        <w:rPr>
          <w:sz w:val="15"/>
          <w:szCs w:val="15"/>
        </w:rPr>
        <w:t> </w:t>
      </w:r>
    </w:p>
    <w:p w:rsidR="00000000" w:rsidRDefault="00F422C9">
      <w:pPr>
        <w:shd w:val="clear" w:color="auto" w:fill="660099"/>
        <w:jc w:val="center"/>
        <w:textAlignment w:val="bottom"/>
        <w:rPr>
          <w:rFonts w:ascii="Geneva" w:hAnsi="Geneva"/>
          <w:color w:val="FFFF99"/>
          <w:sz w:val="15"/>
          <w:szCs w:val="15"/>
        </w:rPr>
      </w:pPr>
      <w:r>
        <w:rPr>
          <w:rFonts w:ascii="Geneva" w:hAnsi="Geneva"/>
          <w:color w:val="FFFF99"/>
          <w:sz w:val="15"/>
          <w:szCs w:val="15"/>
        </w:rPr>
        <w:t xml:space="preserve">Maintained by </w:t>
      </w:r>
      <w:hyperlink r:id="rId6" w:history="1">
        <w:r>
          <w:rPr>
            <w:rStyle w:val="Hyperlink"/>
            <w:rFonts w:ascii="Geneva" w:hAnsi="Geneva"/>
            <w:sz w:val="15"/>
            <w:szCs w:val="15"/>
          </w:rPr>
          <w:t>University Marketing &amp; Public Relations</w:t>
        </w:r>
      </w:hyperlink>
      <w:r>
        <w:rPr>
          <w:rFonts w:ascii="Geneva" w:hAnsi="Geneva"/>
          <w:color w:val="FFFF99"/>
          <w:sz w:val="15"/>
          <w:szCs w:val="15"/>
        </w:rPr>
        <w:t xml:space="preserve"> </w:t>
      </w:r>
      <w:r>
        <w:rPr>
          <w:rFonts w:ascii="Geneva" w:hAnsi="Geneva"/>
          <w:color w:val="FFFF99"/>
          <w:sz w:val="15"/>
          <w:szCs w:val="15"/>
        </w:rPr>
        <w:br/>
        <w:t>Last Updated:</w:t>
      </w:r>
      <w:r>
        <w:rPr>
          <w:rFonts w:ascii="Geneva" w:hAnsi="Geneva"/>
          <w:color w:val="FFFF99"/>
          <w:sz w:val="15"/>
          <w:szCs w:val="15"/>
        </w:rPr>
        <w:t xml:space="preserve"> </w:t>
      </w:r>
      <w:r>
        <w:rPr>
          <w:rFonts w:ascii="Geneva" w:hAnsi="Geneva"/>
          <w:color w:val="FFFF99"/>
          <w:sz w:val="15"/>
          <w:szCs w:val="15"/>
        </w:rPr>
        <w:t>September 3, 200</w:t>
      </w:r>
      <w:r>
        <w:rPr>
          <w:rFonts w:ascii="Geneva" w:hAnsi="Geneva"/>
          <w:color w:val="FFFF99"/>
          <w:sz w:val="15"/>
          <w:szCs w:val="15"/>
        </w:rPr>
        <w:t>8</w:t>
      </w:r>
      <w:r>
        <w:rPr>
          <w:rFonts w:ascii="Geneva" w:hAnsi="Geneva"/>
          <w:color w:val="FFFF99"/>
          <w:sz w:val="15"/>
          <w:szCs w:val="15"/>
        </w:rPr>
        <w:t xml:space="preserve"> </w:t>
      </w:r>
    </w:p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embedSystemFonts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C03C43"/>
    <w:rsid w:val="00C03C43"/>
    <w:rsid w:val="00F422C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/>
      <w:sz w:val="20"/>
      <w:szCs w:val="20"/>
    </w:rPr>
  </w:style>
  <w:style w:type="paragraph" w:styleId="Heading3">
    <w:name w:val="heading 3"/>
    <w:basedOn w:val="Normal"/>
    <w:link w:val="Heading3Char"/>
    <w:uiPriority w:val="9"/>
    <w:pPr>
      <w:spacing w:before="100" w:beforeAutospacing="1" w:after="100" w:afterAutospacing="1"/>
      <w:outlineLvl w:val="2"/>
    </w:pPr>
    <w:rPr>
      <w:b/>
      <w:sz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Pr>
      <w:strike w:val="0"/>
      <w:dstrike w:val="0"/>
      <w:color w:val="FFFFFF"/>
      <w:u w:val="none"/>
      <w:effect w:val="none"/>
    </w:rPr>
  </w:style>
  <w:style w:type="character" w:styleId="FollowedHyperlink">
    <w:name w:val="Followed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Geneva" w:hAnsi="Geneva" w:cs="Times New Roman"/>
      <w:color w:val="000000"/>
      <w:sz w:val="24"/>
      <w:szCs w:val="24"/>
    </w:rPr>
  </w:style>
  <w:style w:type="paragraph" w:customStyle="1" w:styleId="clearfloat">
    <w:name w:val="clearfloat"/>
    <w:basedOn w:val="Normal"/>
    <w:pPr>
      <w:spacing w:before="100" w:beforeAutospacing="1" w:after="100" w:afterAutospacing="1" w:line="0" w:lineRule="atLeast"/>
    </w:pPr>
    <w:rPr>
      <w:rFonts w:ascii="Geneva" w:hAnsi="Geneva"/>
      <w:color w:val="000000"/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gif"/><Relationship Id="rId5" Type="http://schemas.openxmlformats.org/officeDocument/2006/relationships/image" Target="http://www.uni.edu/familyweekend/graphics/banner.gif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mailto:webteam@un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3712</Characters>
  <Application>Microsoft Macintosh Word</Application>
  <DocSecurity>0</DocSecurity>
  <Lines>30</Lines>
  <Paragraphs>7</Paragraphs>
  <ScaleCrop>false</ScaleCrop>
  <Company>UNI UM&amp;PR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 Family Weekend 2008</dc:title>
  <dc:subject/>
  <dc:creator>Student Design 7</dc:creator>
  <cp:keywords/>
  <cp:lastModifiedBy>Student Design 7</cp:lastModifiedBy>
  <cp:revision>2</cp:revision>
  <dcterms:created xsi:type="dcterms:W3CDTF">2009-12-22T17:25:00Z</dcterms:created>
  <dcterms:modified xsi:type="dcterms:W3CDTF">2009-12-22T17:25:00Z</dcterms:modified>
</cp:coreProperties>
</file>